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附件4：</w:t>
      </w:r>
    </w:p>
    <w:p>
      <w:pPr>
        <w:adjustRightInd w:val="0"/>
        <w:snapToGrid w:val="0"/>
        <w:spacing w:after="312" w:afterLines="100"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评标承诺书</w:t>
      </w:r>
    </w:p>
    <w:bookmarkEnd w:id="0"/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本人熟悉招标投标和政府采购相关法律，受邀参加项目的评审工作，并郑重承诺：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一、严格遵守招标投标和政府采购法律法规、规章制度及各项工作纪律，对在评标过程中获知的各投标人的商业和技术秘密予以保密。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二、发挥专业特长，对所有投标文件作出客观公正的评价，并对出具的个人评审意见，独立承担相应的法律责任。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三、在评审活动中提出客观公正、合理有效的意见，不发表有引导性、倾向性、歧视性言论。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四、评审期间，主动将通讯设备交由组织方集中保管，不擅自与外界联系。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五、积极配合采购代理机构答复供应商提出的质疑，积极配合相关部门处理投诉、复议和诉讼等事项。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六、评审结束后，将全部资料整理上缴采购代理机构，不将评审过程中的任何资料带出评审现场，不向投标人或其他单位提供评审资料。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七、其他违反相关规定的行为。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承诺人：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jZhNDUyODY4YmU5MDY5NjFhYTFlNTc0OGU5ZTEifQ=="/>
  </w:docVars>
  <w:rsids>
    <w:rsidRoot w:val="19623F03"/>
    <w:rsid w:val="196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2023-04-04T08:10:00Z</dcterms:created>
  <dc:creator>肖志敏</dc:creator>
  <cp:lastModifiedBy>肖志敏</cp:lastModifiedBy>
  <dcterms:modified xsi:type="dcterms:W3CDTF">2023-04-04T08:14:40Z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C27D32D27784410F8A59F49DA1F87554</vt:lpwstr>
  </property>
</Properties>
</file>